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napToGrid w:val="0"/>
        <w:jc w:val="both"/>
        <w:rPr>
          <w:rFonts w:ascii="Times New Roman" w:hAnsi="Times New Roman"/>
          <w:i/>
          <w:sz w:val="20"/>
          <w:szCs w:val="20"/>
        </w:rPr>
      </w:pPr>
      <w:r>
        <w:rPr>
          <w:rFonts w:ascii="Times New Roman" w:hAnsi="Times New Roman"/>
          <w:i/>
          <w:sz w:val="20"/>
          <w:szCs w:val="20"/>
        </w:rPr>
        <w:t xml:space="preserve">Hong Kong Exchanges and Clearing Limited and The Stock Exchange of Hong Kong Limited take no responsibility for the contents of this announcement, make no representation as to its accuracy or completeness and expressly disclaim any liability whatsoever for any loss howsoever arising from or in reliance upon the whole or any part of the contents of this announcement. </w:t>
      </w:r>
    </w:p>
    <w:p>
      <w:pPr>
        <w:pStyle w:val="2"/>
        <w:snapToGrid w:val="0"/>
        <w:jc w:val="both"/>
        <w:rPr>
          <w:rFonts w:ascii="Times New Roman" w:hAnsi="Times New Roman"/>
          <w:sz w:val="20"/>
          <w:szCs w:val="20"/>
        </w:rPr>
      </w:pPr>
    </w:p>
    <w:p>
      <w:pPr>
        <w:pStyle w:val="2"/>
        <w:snapToGrid w:val="0"/>
        <w:jc w:val="both"/>
        <w:rPr>
          <w:rFonts w:ascii="Times New Roman" w:hAnsi="Times New Roman"/>
          <w:sz w:val="20"/>
          <w:szCs w:val="20"/>
        </w:rPr>
      </w:pPr>
      <w:r>
        <w:rPr>
          <w:rFonts w:hint="eastAsia" w:ascii="Times New Roman" w:hAnsi="Times New Roman" w:eastAsia="MingLiU" w:cs="Times New Roman"/>
          <w:i/>
          <w:iCs/>
          <w:kern w:val="2"/>
          <w:sz w:val="20"/>
          <w:szCs w:val="22"/>
          <w:lang w:val="en-US" w:eastAsia="zh-TW" w:bidi="ar-SA"/>
        </w:rPr>
        <w:pict>
          <v:shape id="Picture 1" o:spid="_x0000_s1026" type="#_x0000_t75" style="position:absolute;left:0;margin-left:203.45pt;margin-top:2.55pt;height:45.45pt;width:42pt;rotation:0f;z-index:251658240;" o:ole="f" fillcolor="#FFFFFF" filled="f" o:preferrelative="t" stroked="f" coordorigin="0,0" coordsize="21600,21600">
            <v:fill on="f" color2="#FFFFFF" focus="0%"/>
            <v:imagedata gain="65536f" blacklevel="0f" gamma="0" chromakey="#FFFFFF" o:title="" r:id="rId6"/>
            <o:lock v:ext="edit" position="f" selection="f" grouping="f" rotation="f" cropping="f" text="f" aspectratio="t"/>
          </v:shape>
        </w:pict>
      </w:r>
    </w:p>
    <w:p>
      <w:pPr>
        <w:pStyle w:val="2"/>
        <w:snapToGrid w:val="0"/>
        <w:spacing w:line="240" w:lineRule="atLeast"/>
        <w:jc w:val="center"/>
        <w:rPr>
          <w:rFonts w:ascii="Times New Roman" w:hAnsi="Times New Roman"/>
          <w:sz w:val="16"/>
        </w:rPr>
      </w:pPr>
      <w:r>
        <w:rPr>
          <w:rFonts w:hint="eastAsia" w:ascii="Times New Roman" w:hAnsi="Times New Roman"/>
          <w:sz w:val="16"/>
        </w:rPr>
        <w:tab/>
      </w:r>
    </w:p>
    <w:p>
      <w:pPr>
        <w:pStyle w:val="2"/>
        <w:snapToGrid w:val="0"/>
        <w:spacing w:line="240" w:lineRule="atLeast"/>
        <w:jc w:val="center"/>
        <w:rPr>
          <w:rFonts w:ascii="Times New Roman" w:hAnsi="Times New Roman"/>
          <w:sz w:val="16"/>
        </w:rPr>
      </w:pPr>
    </w:p>
    <w:p>
      <w:pPr>
        <w:pStyle w:val="2"/>
        <w:snapToGrid w:val="0"/>
        <w:spacing w:line="240" w:lineRule="atLeast"/>
        <w:jc w:val="center"/>
        <w:rPr>
          <w:rFonts w:ascii="Times New Roman" w:hAnsi="Times New Roman"/>
          <w:i/>
          <w:iCs/>
          <w:sz w:val="20"/>
        </w:rPr>
      </w:pPr>
    </w:p>
    <w:p>
      <w:pPr>
        <w:pStyle w:val="2"/>
        <w:snapToGrid w:val="0"/>
        <w:spacing w:line="240" w:lineRule="atLeast"/>
        <w:jc w:val="center"/>
        <w:rPr>
          <w:b/>
          <w:bCs/>
          <w:sz w:val="22"/>
        </w:rPr>
      </w:pPr>
    </w:p>
    <w:p>
      <w:pPr>
        <w:pStyle w:val="2"/>
        <w:snapToGrid w:val="0"/>
        <w:spacing w:line="240" w:lineRule="atLeast"/>
        <w:jc w:val="center"/>
        <w:rPr>
          <w:rFonts w:ascii="Times New Roman" w:hAnsi="Times New Roman"/>
          <w:b/>
          <w:sz w:val="22"/>
        </w:rPr>
      </w:pPr>
      <w:r>
        <w:rPr>
          <w:rFonts w:hint="eastAsia"/>
          <w:b/>
          <w:bCs/>
          <w:sz w:val="22"/>
        </w:rPr>
        <w:t>山東新華製藥股份有限公司</w:t>
      </w:r>
    </w:p>
    <w:p>
      <w:pPr>
        <w:pStyle w:val="6"/>
        <w:widowControl w:val="0"/>
        <w:tabs>
          <w:tab w:val="left" w:pos="709"/>
          <w:tab w:val="left" w:pos="1418"/>
          <w:tab w:val="left" w:pos="2126"/>
          <w:tab w:val="left" w:pos="2835"/>
          <w:tab w:val="left" w:pos="3544"/>
          <w:tab w:val="left" w:pos="4253"/>
        </w:tabs>
        <w:kinsoku w:val="0"/>
        <w:adjustRightInd w:val="0"/>
        <w:snapToGrid w:val="0"/>
        <w:spacing w:line="240" w:lineRule="atLeast"/>
        <w:rPr>
          <w:kern w:val="2"/>
          <w:sz w:val="22"/>
          <w:szCs w:val="22"/>
        </w:rPr>
      </w:pPr>
      <w:r>
        <w:rPr>
          <w:kern w:val="2"/>
          <w:sz w:val="22"/>
          <w:szCs w:val="22"/>
        </w:rPr>
        <w:t>Shandong Xinhua Pharmaceutical Company Limited</w:t>
      </w:r>
    </w:p>
    <w:p>
      <w:pPr>
        <w:pStyle w:val="2"/>
        <w:snapToGrid w:val="0"/>
        <w:spacing w:before="80"/>
        <w:jc w:val="center"/>
        <w:rPr>
          <w:rFonts w:ascii="Times New Roman" w:hAnsi="Times New Roman"/>
          <w:i/>
          <w:sz w:val="22"/>
        </w:rPr>
      </w:pPr>
      <w:r>
        <w:rPr>
          <w:rFonts w:hint="eastAsia"/>
          <w:b/>
          <w:bCs/>
          <w:sz w:val="22"/>
        </w:rPr>
        <w:t xml:space="preserve"> </w:t>
      </w:r>
      <w:r>
        <w:rPr>
          <w:rFonts w:ascii="Times New Roman" w:hAnsi="Times New Roman"/>
          <w:i/>
          <w:sz w:val="22"/>
        </w:rPr>
        <w:t>(a joint stock limited company incorporated in the People's Republic of China with limited liability)</w:t>
      </w:r>
    </w:p>
    <w:p>
      <w:pPr>
        <w:jc w:val="center"/>
        <w:rPr>
          <w:b/>
          <w:bCs/>
          <w:sz w:val="22"/>
          <w:szCs w:val="22"/>
        </w:rPr>
      </w:pPr>
      <w:r>
        <w:rPr>
          <w:b/>
          <w:bCs/>
          <w:sz w:val="22"/>
          <w:szCs w:val="22"/>
        </w:rPr>
        <w:t>(Stock Code: 0719)</w:t>
      </w:r>
    </w:p>
    <w:p>
      <w:pPr>
        <w:rPr>
          <w:sz w:val="22"/>
          <w:szCs w:val="22"/>
        </w:rPr>
      </w:pPr>
      <w:r>
        <w:rPr>
          <w:sz w:val="22"/>
          <w:szCs w:val="22"/>
        </w:rPr>
        <w:t xml:space="preserve"> </w:t>
      </w:r>
    </w:p>
    <w:p>
      <w:pPr>
        <w:autoSpaceDE w:val="0"/>
        <w:autoSpaceDN w:val="0"/>
        <w:adjustRightInd w:val="0"/>
        <w:ind w:left="110" w:right="49"/>
        <w:jc w:val="center"/>
        <w:rPr>
          <w:b/>
          <w:bCs/>
          <w:color w:val="231F20"/>
          <w:spacing w:val="4"/>
          <w:sz w:val="22"/>
          <w:szCs w:val="22"/>
        </w:rPr>
      </w:pPr>
      <w:r>
        <w:rPr>
          <w:b/>
          <w:bCs/>
          <w:color w:val="231F20"/>
          <w:spacing w:val="4"/>
          <w:sz w:val="22"/>
          <w:szCs w:val="22"/>
        </w:rPr>
        <w:t>CHANGE OF SHAREHOLDING STRUCTURE OF CONTROLLING SHAREHOLDER</w:t>
      </w:r>
    </w:p>
    <w:p>
      <w:pPr>
        <w:autoSpaceDE w:val="0"/>
        <w:autoSpaceDN w:val="0"/>
        <w:adjustRightInd w:val="0"/>
        <w:ind w:left="110" w:right="49"/>
        <w:jc w:val="center"/>
        <w:rPr>
          <w:color w:val="000000"/>
        </w:rPr>
      </w:pPr>
    </w:p>
    <w:p>
      <w:pPr>
        <w:pStyle w:val="2"/>
        <w:snapToGrid w:val="0"/>
        <w:jc w:val="both"/>
        <w:rPr>
          <w:rFonts w:ascii="Times New Roman" w:hAnsi="Times New Roman"/>
          <w:sz w:val="22"/>
        </w:rPr>
      </w:pPr>
      <w:r>
        <w:rPr>
          <w:rFonts w:hint="eastAsia" w:ascii="Times New Roman" w:hAnsi="Times New Roman"/>
          <w:sz w:val="22"/>
        </w:rPr>
        <w:t xml:space="preserve">This </w:t>
      </w:r>
      <w:r>
        <w:rPr>
          <w:rFonts w:ascii="Times New Roman" w:hAnsi="Times New Roman"/>
          <w:sz w:val="22"/>
        </w:rPr>
        <w:t>announcement</w:t>
      </w:r>
      <w:r>
        <w:rPr>
          <w:rFonts w:hint="eastAsia" w:ascii="Times New Roman" w:hAnsi="Times New Roman"/>
          <w:sz w:val="22"/>
        </w:rPr>
        <w:t xml:space="preserve"> is made </w:t>
      </w:r>
      <w:r>
        <w:rPr>
          <w:rFonts w:ascii="Times New Roman" w:hAnsi="Times New Roman"/>
          <w:sz w:val="22"/>
        </w:rPr>
        <w:t xml:space="preserve">by </w:t>
      </w:r>
      <w:r>
        <w:rPr>
          <w:rFonts w:ascii="Times New Roman" w:hAnsi="Times New Roman"/>
          <w:bCs/>
          <w:color w:val="231F20"/>
          <w:spacing w:val="4"/>
          <w:sz w:val="22"/>
        </w:rPr>
        <w:t>Shandong Xinhua Pharmaceutical Company Limited (the “</w:t>
      </w:r>
      <w:r>
        <w:rPr>
          <w:rFonts w:ascii="Times New Roman" w:hAnsi="Times New Roman"/>
          <w:b/>
          <w:bCs/>
          <w:color w:val="231F20"/>
          <w:spacing w:val="4"/>
          <w:sz w:val="22"/>
        </w:rPr>
        <w:t>Company”</w:t>
      </w:r>
      <w:r>
        <w:rPr>
          <w:rFonts w:ascii="Times New Roman" w:hAnsi="Times New Roman"/>
          <w:bCs/>
          <w:color w:val="231F20"/>
          <w:spacing w:val="4"/>
          <w:sz w:val="22"/>
        </w:rPr>
        <w:t xml:space="preserve">) </w:t>
      </w:r>
      <w:r>
        <w:rPr>
          <w:rFonts w:hint="eastAsia" w:ascii="Times New Roman" w:hAnsi="Times New Roman"/>
          <w:sz w:val="22"/>
        </w:rPr>
        <w:t xml:space="preserve">in accordance with Rule 13.09 of the </w:t>
      </w:r>
      <w:r>
        <w:rPr>
          <w:rFonts w:ascii="Times New Roman" w:hAnsi="Times New Roman"/>
          <w:sz w:val="22"/>
        </w:rPr>
        <w:t xml:space="preserve">Rules Governing the </w:t>
      </w:r>
      <w:r>
        <w:rPr>
          <w:rFonts w:hint="eastAsia" w:ascii="Times New Roman" w:hAnsi="Times New Roman"/>
          <w:sz w:val="22"/>
        </w:rPr>
        <w:t xml:space="preserve">Listing </w:t>
      </w:r>
      <w:r>
        <w:rPr>
          <w:rFonts w:ascii="Times New Roman" w:hAnsi="Times New Roman"/>
          <w:sz w:val="22"/>
        </w:rPr>
        <w:t>of Securities on the Stock Exchange Limited (the “</w:t>
      </w:r>
      <w:r>
        <w:rPr>
          <w:rFonts w:ascii="Times New Roman" w:hAnsi="Times New Roman"/>
          <w:b/>
          <w:sz w:val="22"/>
        </w:rPr>
        <w:t xml:space="preserve">Listing </w:t>
      </w:r>
      <w:r>
        <w:rPr>
          <w:rFonts w:hint="eastAsia" w:ascii="Times New Roman" w:hAnsi="Times New Roman"/>
          <w:b/>
          <w:sz w:val="22"/>
        </w:rPr>
        <w:t>Rules</w:t>
      </w:r>
      <w:r>
        <w:rPr>
          <w:rFonts w:ascii="Times New Roman" w:hAnsi="Times New Roman"/>
          <w:sz w:val="22"/>
        </w:rPr>
        <w:t xml:space="preserve">”) and the Inside Information Provisions (as defined in the Listing Rules) under Party XIVA of the Securities and Futures Ordinance (Chapter 571 of the Laws of Hong Kong). </w:t>
      </w:r>
    </w:p>
    <w:p>
      <w:pPr>
        <w:pStyle w:val="2"/>
        <w:snapToGrid w:val="0"/>
        <w:jc w:val="both"/>
        <w:rPr>
          <w:rFonts w:ascii="Times New Roman" w:hAnsi="Times New Roman"/>
          <w:sz w:val="22"/>
        </w:rPr>
      </w:pPr>
    </w:p>
    <w:p>
      <w:pPr>
        <w:pStyle w:val="2"/>
        <w:snapToGrid w:val="0"/>
        <w:jc w:val="both"/>
        <w:rPr>
          <w:rFonts w:ascii="Times New Roman" w:hAnsi="Times New Roman"/>
          <w:sz w:val="22"/>
        </w:rPr>
      </w:pPr>
      <w:r>
        <w:rPr>
          <w:rFonts w:ascii="Times New Roman" w:hAnsi="Times New Roman"/>
          <w:sz w:val="22"/>
        </w:rPr>
        <w:t>T</w:t>
      </w:r>
      <w:r>
        <w:rPr>
          <w:rFonts w:hint="eastAsia" w:ascii="Times New Roman" w:hAnsi="Times New Roman"/>
          <w:sz w:val="22"/>
        </w:rPr>
        <w:t xml:space="preserve">he Company </w:t>
      </w:r>
      <w:r>
        <w:rPr>
          <w:rFonts w:ascii="Times New Roman" w:hAnsi="Times New Roman"/>
          <w:sz w:val="22"/>
        </w:rPr>
        <w:t>has been notified by Hualu Holdings Group Company Limited (“</w:t>
      </w:r>
      <w:r>
        <w:rPr>
          <w:rFonts w:ascii="Times New Roman" w:hAnsi="Times New Roman"/>
          <w:b/>
          <w:sz w:val="22"/>
        </w:rPr>
        <w:t>HHGC</w:t>
      </w:r>
      <w:r>
        <w:rPr>
          <w:rFonts w:ascii="Times New Roman" w:hAnsi="Times New Roman"/>
          <w:sz w:val="22"/>
        </w:rPr>
        <w:t xml:space="preserve">”) that, by the </w:t>
      </w:r>
      <w:r>
        <w:rPr>
          <w:rFonts w:hint="eastAsia" w:ascii="Times New Roman" w:hAnsi="Times New Roman"/>
          <w:sz w:val="22"/>
        </w:rPr>
        <w:t xml:space="preserve">document (the </w:t>
      </w:r>
      <w:r>
        <w:rPr>
          <w:rFonts w:ascii="Times New Roman" w:hAnsi="Times New Roman"/>
          <w:sz w:val="22"/>
        </w:rPr>
        <w:t>“</w:t>
      </w:r>
      <w:r>
        <w:rPr>
          <w:rFonts w:hint="eastAsia" w:ascii="Times New Roman" w:hAnsi="Times New Roman"/>
          <w:b/>
          <w:bCs/>
          <w:sz w:val="22"/>
        </w:rPr>
        <w:t>Document</w:t>
      </w:r>
      <w:r>
        <w:rPr>
          <w:rFonts w:ascii="Times New Roman" w:hAnsi="Times New Roman"/>
          <w:sz w:val="22"/>
        </w:rPr>
        <w:t>”</w:t>
      </w:r>
      <w:r>
        <w:rPr>
          <w:rFonts w:hint="eastAsia" w:ascii="Times New Roman" w:hAnsi="Times New Roman"/>
          <w:sz w:val="22"/>
        </w:rPr>
        <w:t>)</w:t>
      </w:r>
      <w:r>
        <w:rPr>
          <w:rFonts w:ascii="Times New Roman" w:hAnsi="Times New Roman"/>
          <w:sz w:val="22"/>
        </w:rPr>
        <w:t xml:space="preserve"> </w:t>
      </w:r>
      <w:r>
        <w:rPr>
          <w:rFonts w:hint="eastAsia" w:ascii="Times New Roman" w:hAnsi="Times New Roman"/>
          <w:sz w:val="22"/>
        </w:rPr>
        <w:t>魯國資收益字</w:t>
      </w:r>
      <w:r>
        <w:rPr>
          <w:rFonts w:ascii="Times New Roman" w:hAnsi="Times New Roman"/>
          <w:sz w:val="22"/>
        </w:rPr>
        <w:t>[2018]47</w:t>
      </w:r>
      <w:r>
        <w:rPr>
          <w:rFonts w:hint="eastAsia" w:ascii="Times New Roman" w:hAnsi="Times New Roman"/>
          <w:sz w:val="22"/>
        </w:rPr>
        <w:t>號《山東省國資委關於華魯控股集團有限公司吸收合併山東新華醫藥集團有限責任公司有關問題的批復》</w:t>
      </w:r>
      <w:r>
        <w:rPr>
          <w:rFonts w:ascii="Times New Roman" w:hAnsi="Times New Roman"/>
          <w:sz w:val="22"/>
        </w:rPr>
        <w:t>(</w:t>
      </w:r>
      <w:r>
        <w:rPr>
          <w:rFonts w:hint="eastAsia" w:ascii="Times New Roman" w:hAnsi="Times New Roman"/>
          <w:sz w:val="22"/>
        </w:rPr>
        <w:t>Lu</w:t>
      </w:r>
      <w:r>
        <w:rPr>
          <w:rFonts w:ascii="Times New Roman" w:hAnsi="Times New Roman"/>
          <w:sz w:val="22"/>
        </w:rPr>
        <w:t xml:space="preserve"> G</w:t>
      </w:r>
      <w:r>
        <w:rPr>
          <w:rFonts w:hint="eastAsia" w:ascii="Times New Roman" w:hAnsi="Times New Roman"/>
          <w:sz w:val="22"/>
        </w:rPr>
        <w:t>uo</w:t>
      </w:r>
      <w:r>
        <w:rPr>
          <w:rFonts w:ascii="Times New Roman" w:hAnsi="Times New Roman"/>
          <w:sz w:val="22"/>
        </w:rPr>
        <w:t>z</w:t>
      </w:r>
      <w:r>
        <w:rPr>
          <w:rFonts w:hint="eastAsia" w:ascii="Times New Roman" w:hAnsi="Times New Roman"/>
          <w:sz w:val="22"/>
        </w:rPr>
        <w:t xml:space="preserve">i </w:t>
      </w:r>
      <w:r>
        <w:rPr>
          <w:rFonts w:ascii="Times New Roman" w:hAnsi="Times New Roman"/>
          <w:sz w:val="22"/>
        </w:rPr>
        <w:t>Shouyi Zi</w:t>
      </w:r>
      <w:r>
        <w:rPr>
          <w:rFonts w:hint="eastAsia" w:ascii="Times New Roman" w:hAnsi="Times New Roman"/>
          <w:sz w:val="22"/>
        </w:rPr>
        <w:t xml:space="preserve"> [20</w:t>
      </w:r>
      <w:r>
        <w:rPr>
          <w:rFonts w:ascii="Times New Roman" w:hAnsi="Times New Roman"/>
          <w:sz w:val="22"/>
        </w:rPr>
        <w:t>18</w:t>
      </w:r>
      <w:r>
        <w:rPr>
          <w:rFonts w:hint="eastAsia" w:ascii="Times New Roman" w:hAnsi="Times New Roman"/>
          <w:sz w:val="22"/>
        </w:rPr>
        <w:t>] No.</w:t>
      </w:r>
      <w:r>
        <w:rPr>
          <w:rFonts w:ascii="Times New Roman" w:hAnsi="Times New Roman"/>
          <w:sz w:val="22"/>
        </w:rPr>
        <w:t xml:space="preserve">47 The Reply and Approval of </w:t>
      </w:r>
      <w:r>
        <w:rPr>
          <w:rFonts w:hint="eastAsia" w:ascii="Times New Roman" w:hAnsi="Times New Roman"/>
          <w:sz w:val="22"/>
        </w:rPr>
        <w:t xml:space="preserve">the State-owned Assets Supervision and </w:t>
      </w:r>
      <w:r>
        <w:rPr>
          <w:rFonts w:ascii="Times New Roman" w:hAnsi="Times New Roman"/>
          <w:sz w:val="22"/>
        </w:rPr>
        <w:t>Administration</w:t>
      </w:r>
      <w:r>
        <w:rPr>
          <w:rFonts w:hint="eastAsia" w:ascii="Times New Roman" w:hAnsi="Times New Roman"/>
          <w:sz w:val="22"/>
        </w:rPr>
        <w:t xml:space="preserve"> Commission </w:t>
      </w:r>
      <w:r>
        <w:rPr>
          <w:rFonts w:hint="eastAsia" w:ascii="Times New Roman" w:hAnsi="Times New Roman" w:eastAsia="宋体"/>
          <w:sz w:val="22"/>
          <w:lang w:eastAsia="zh-CN"/>
        </w:rPr>
        <w:t>of The People</w:t>
      </w:r>
      <w:r>
        <w:rPr>
          <w:rFonts w:ascii="Times New Roman" w:hAnsi="Times New Roman" w:eastAsia="宋体"/>
          <w:sz w:val="22"/>
          <w:lang w:eastAsia="zh-CN"/>
        </w:rPr>
        <w:t>’</w:t>
      </w:r>
      <w:r>
        <w:rPr>
          <w:rFonts w:hint="eastAsia" w:ascii="Times New Roman" w:hAnsi="Times New Roman" w:eastAsia="宋体"/>
          <w:sz w:val="22"/>
          <w:lang w:eastAsia="zh-CN"/>
        </w:rPr>
        <w:t>s Government of Shandong Province</w:t>
      </w:r>
      <w:r>
        <w:rPr>
          <w:rFonts w:ascii="Times New Roman" w:hAnsi="Times New Roman" w:eastAsia="宋体"/>
          <w:sz w:val="22"/>
          <w:lang w:eastAsia="zh-CN"/>
        </w:rPr>
        <w:t xml:space="preserve"> on Relevant Issues of the Absorption and Merger of </w:t>
      </w:r>
      <w:r>
        <w:rPr>
          <w:rFonts w:ascii="Times New Roman" w:hAnsi="Times New Roman"/>
          <w:sz w:val="22"/>
        </w:rPr>
        <w:t>Shandong Xinhua Pharmaceutical Group Company Limited by HHGC),</w:t>
      </w:r>
      <w:r>
        <w:rPr>
          <w:rFonts w:hint="eastAsia" w:ascii="Times New Roman" w:hAnsi="Times New Roman"/>
          <w:sz w:val="22"/>
        </w:rPr>
        <w:t xml:space="preserve"> the State-owned Assets Supervision and </w:t>
      </w:r>
      <w:r>
        <w:rPr>
          <w:rFonts w:ascii="Times New Roman" w:hAnsi="Times New Roman"/>
          <w:sz w:val="22"/>
        </w:rPr>
        <w:t>Administration</w:t>
      </w:r>
      <w:r>
        <w:rPr>
          <w:rFonts w:hint="eastAsia" w:ascii="Times New Roman" w:hAnsi="Times New Roman"/>
          <w:sz w:val="22"/>
        </w:rPr>
        <w:t xml:space="preserve"> Commission </w:t>
      </w:r>
      <w:r>
        <w:rPr>
          <w:rFonts w:hint="eastAsia" w:ascii="Times New Roman" w:hAnsi="Times New Roman" w:eastAsia="宋体"/>
          <w:sz w:val="22"/>
          <w:lang w:eastAsia="zh-CN"/>
        </w:rPr>
        <w:t>of The People</w:t>
      </w:r>
      <w:r>
        <w:rPr>
          <w:rFonts w:ascii="Times New Roman" w:hAnsi="Times New Roman" w:eastAsia="宋体"/>
          <w:sz w:val="22"/>
          <w:lang w:eastAsia="zh-CN"/>
        </w:rPr>
        <w:t>’</w:t>
      </w:r>
      <w:r>
        <w:rPr>
          <w:rFonts w:hint="eastAsia" w:ascii="Times New Roman" w:hAnsi="Times New Roman" w:eastAsia="宋体"/>
          <w:sz w:val="22"/>
          <w:lang w:eastAsia="zh-CN"/>
        </w:rPr>
        <w:t xml:space="preserve">s Government of Shandong Province </w:t>
      </w:r>
      <w:r>
        <w:rPr>
          <w:rFonts w:hint="eastAsia" w:ascii="Times New Roman" w:hAnsi="Times New Roman"/>
          <w:sz w:val="22"/>
        </w:rPr>
        <w:t>(the</w:t>
      </w:r>
      <w:r>
        <w:rPr>
          <w:rFonts w:ascii="Times New Roman" w:hAnsi="Times New Roman"/>
          <w:sz w:val="22"/>
        </w:rPr>
        <w:t xml:space="preserve"> “</w:t>
      </w:r>
      <w:r>
        <w:rPr>
          <w:rFonts w:ascii="Times New Roman" w:hAnsi="Times New Roman"/>
          <w:b/>
          <w:sz w:val="22"/>
        </w:rPr>
        <w:t>Shandong</w:t>
      </w:r>
      <w:r>
        <w:rPr>
          <w:rFonts w:ascii="Times New Roman" w:hAnsi="Times New Roman"/>
          <w:sz w:val="22"/>
        </w:rPr>
        <w:t xml:space="preserve"> </w:t>
      </w:r>
      <w:r>
        <w:rPr>
          <w:rFonts w:ascii="Times New Roman" w:hAnsi="Times New Roman"/>
          <w:b/>
          <w:bCs/>
          <w:sz w:val="22"/>
        </w:rPr>
        <w:t>SASAC</w:t>
      </w:r>
      <w:r>
        <w:rPr>
          <w:rFonts w:ascii="Times New Roman" w:hAnsi="Times New Roman"/>
          <w:sz w:val="22"/>
        </w:rPr>
        <w:t>”</w:t>
      </w:r>
      <w:r>
        <w:rPr>
          <w:rFonts w:hint="eastAsia" w:ascii="Times New Roman" w:hAnsi="Times New Roman"/>
          <w:sz w:val="22"/>
        </w:rPr>
        <w:t xml:space="preserve">) </w:t>
      </w:r>
      <w:r>
        <w:rPr>
          <w:rFonts w:ascii="Times New Roman" w:hAnsi="Times New Roman"/>
          <w:sz w:val="22"/>
        </w:rPr>
        <w:t>has granted approval in principle to the plan of internal restructuring of the HHGC group (“</w:t>
      </w:r>
      <w:r>
        <w:rPr>
          <w:rFonts w:ascii="Times New Roman" w:hAnsi="Times New Roman"/>
          <w:b/>
          <w:sz w:val="22"/>
        </w:rPr>
        <w:t>Internal Restructuring</w:t>
      </w:r>
      <w:r>
        <w:rPr>
          <w:rFonts w:ascii="Times New Roman" w:hAnsi="Times New Roman"/>
          <w:sz w:val="22"/>
        </w:rPr>
        <w:t>”).  As part of the Internal Restructuring, Shandong Xinhua Pharmaceutical Group Company Limited (“</w:t>
      </w:r>
      <w:r>
        <w:rPr>
          <w:rFonts w:ascii="Times New Roman" w:hAnsi="Times New Roman"/>
          <w:b/>
          <w:sz w:val="22"/>
        </w:rPr>
        <w:t>SXPGC</w:t>
      </w:r>
      <w:r>
        <w:rPr>
          <w:rFonts w:ascii="Times New Roman" w:hAnsi="Times New Roman"/>
          <w:sz w:val="22"/>
        </w:rPr>
        <w:t>”) is expected to transfer all and any of its interests and liabilities in respect of the Company to HHGC at nil consideration (the “</w:t>
      </w:r>
      <w:r>
        <w:rPr>
          <w:rFonts w:ascii="Times New Roman" w:hAnsi="Times New Roman"/>
          <w:b/>
          <w:sz w:val="22"/>
        </w:rPr>
        <w:t>Proposed</w:t>
      </w:r>
      <w:r>
        <w:rPr>
          <w:rFonts w:ascii="Times New Roman" w:hAnsi="Times New Roman"/>
          <w:sz w:val="22"/>
        </w:rPr>
        <w:t xml:space="preserve"> </w:t>
      </w:r>
      <w:r>
        <w:rPr>
          <w:rFonts w:ascii="Times New Roman" w:hAnsi="Times New Roman"/>
          <w:b/>
          <w:sz w:val="22"/>
        </w:rPr>
        <w:t>Transfer</w:t>
      </w:r>
      <w:r>
        <w:rPr>
          <w:rFonts w:ascii="Times New Roman" w:hAnsi="Times New Roman"/>
          <w:sz w:val="22"/>
        </w:rPr>
        <w:t>”).</w:t>
      </w:r>
    </w:p>
    <w:p>
      <w:pPr>
        <w:pStyle w:val="2"/>
        <w:snapToGrid w:val="0"/>
        <w:jc w:val="both"/>
        <w:rPr>
          <w:rFonts w:ascii="Times New Roman" w:hAnsi="Times New Roman"/>
          <w:sz w:val="22"/>
        </w:rPr>
      </w:pPr>
    </w:p>
    <w:p>
      <w:pPr>
        <w:pStyle w:val="2"/>
        <w:snapToGrid w:val="0"/>
        <w:jc w:val="both"/>
        <w:rPr>
          <w:rFonts w:ascii="Times New Roman" w:hAnsi="Times New Roman"/>
          <w:sz w:val="22"/>
        </w:rPr>
      </w:pPr>
      <w:r>
        <w:rPr>
          <w:rFonts w:ascii="Times New Roman" w:hAnsi="Times New Roman"/>
          <w:sz w:val="22"/>
        </w:rPr>
        <w:t>As of the date of this announcement:</w:t>
      </w:r>
    </w:p>
    <w:p>
      <w:pPr>
        <w:pStyle w:val="2"/>
        <w:snapToGrid w:val="0"/>
        <w:jc w:val="both"/>
        <w:rPr>
          <w:rFonts w:ascii="Times New Roman" w:hAnsi="Times New Roman"/>
          <w:sz w:val="22"/>
        </w:rPr>
      </w:pPr>
    </w:p>
    <w:p>
      <w:pPr>
        <w:pStyle w:val="2"/>
        <w:numPr>
          <w:ilvl w:val="0"/>
          <w:numId w:val="1"/>
        </w:numPr>
        <w:snapToGrid w:val="0"/>
        <w:jc w:val="both"/>
        <w:rPr>
          <w:rFonts w:ascii="Times New Roman" w:hAnsi="Times New Roman"/>
          <w:sz w:val="22"/>
        </w:rPr>
      </w:pPr>
      <w:r>
        <w:rPr>
          <w:rFonts w:ascii="Times New Roman" w:hAnsi="Times New Roman"/>
          <w:sz w:val="22"/>
        </w:rPr>
        <w:t>SXPGC owns 32.94% of the total issued shares of the Company (the “</w:t>
      </w:r>
      <w:r>
        <w:rPr>
          <w:rFonts w:ascii="Times New Roman" w:hAnsi="Times New Roman"/>
          <w:b/>
          <w:sz w:val="22"/>
        </w:rPr>
        <w:t>Shares</w:t>
      </w:r>
      <w:r>
        <w:rPr>
          <w:rFonts w:ascii="Times New Roman" w:hAnsi="Times New Roman"/>
          <w:sz w:val="22"/>
        </w:rPr>
        <w:t>”) (of which all are A Shares) and is the immediate controlling shareholder of the Company;</w:t>
      </w:r>
    </w:p>
    <w:p>
      <w:pPr>
        <w:pStyle w:val="2"/>
        <w:snapToGrid w:val="0"/>
        <w:ind w:left="360"/>
        <w:jc w:val="both"/>
        <w:rPr>
          <w:rFonts w:ascii="Times New Roman" w:hAnsi="Times New Roman"/>
          <w:sz w:val="22"/>
        </w:rPr>
      </w:pPr>
    </w:p>
    <w:p>
      <w:pPr>
        <w:pStyle w:val="2"/>
        <w:numPr>
          <w:ilvl w:val="0"/>
          <w:numId w:val="1"/>
        </w:numPr>
        <w:snapToGrid w:val="0"/>
        <w:jc w:val="both"/>
        <w:rPr>
          <w:rFonts w:ascii="Times New Roman" w:hAnsi="Times New Roman"/>
          <w:sz w:val="22"/>
        </w:rPr>
      </w:pPr>
      <w:r>
        <w:rPr>
          <w:rFonts w:ascii="Times New Roman" w:hAnsi="Times New Roman"/>
          <w:sz w:val="22"/>
        </w:rPr>
        <w:t>HHGC owns 35.80% of the total issued Shares, of which 32.94% are the A Shares held by its direct wholly-owned subsidiary SXPGC and 2.86% are the H Shares held by its indirect wholly-owned subsidiary Well Bring Limited; and</w:t>
      </w:r>
    </w:p>
    <w:p>
      <w:pPr>
        <w:pStyle w:val="10"/>
        <w:rPr>
          <w:sz w:val="22"/>
          <w:szCs w:val="22"/>
        </w:rPr>
      </w:pPr>
    </w:p>
    <w:p>
      <w:pPr>
        <w:pStyle w:val="2"/>
        <w:numPr>
          <w:ilvl w:val="0"/>
          <w:numId w:val="1"/>
        </w:numPr>
        <w:snapToGrid w:val="0"/>
        <w:jc w:val="both"/>
        <w:rPr>
          <w:rFonts w:ascii="Times New Roman" w:hAnsi="Times New Roman"/>
          <w:sz w:val="22"/>
        </w:rPr>
      </w:pPr>
      <w:r>
        <w:rPr>
          <w:rFonts w:ascii="Times New Roman" w:hAnsi="Times New Roman"/>
          <w:sz w:val="22"/>
        </w:rPr>
        <w:t>SXPGC and HHGC are both wholly state-owned companies belonging to the People’s Government of Shandong Province.</w:t>
      </w:r>
    </w:p>
    <w:p>
      <w:pPr>
        <w:pStyle w:val="2"/>
        <w:snapToGrid w:val="0"/>
        <w:jc w:val="both"/>
        <w:rPr>
          <w:rFonts w:ascii="Times New Roman" w:hAnsi="Times New Roman"/>
          <w:sz w:val="22"/>
        </w:rPr>
      </w:pPr>
    </w:p>
    <w:p>
      <w:pPr>
        <w:pStyle w:val="2"/>
        <w:snapToGrid w:val="0"/>
        <w:jc w:val="both"/>
        <w:rPr>
          <w:rFonts w:ascii="Times New Roman" w:hAnsi="Times New Roman"/>
          <w:sz w:val="22"/>
        </w:rPr>
      </w:pPr>
      <w:r>
        <w:rPr>
          <w:rFonts w:hint="eastAsia" w:ascii="Times New Roman" w:hAnsi="Times New Roman"/>
          <w:sz w:val="22"/>
        </w:rPr>
        <w:t xml:space="preserve">Upon completion of the </w:t>
      </w:r>
      <w:r>
        <w:rPr>
          <w:rFonts w:ascii="Times New Roman" w:hAnsi="Times New Roman"/>
          <w:sz w:val="22"/>
        </w:rPr>
        <w:t>Proposed Transfer</w:t>
      </w:r>
      <w:r>
        <w:rPr>
          <w:rFonts w:hint="eastAsia" w:ascii="Times New Roman" w:hAnsi="Times New Roman"/>
          <w:sz w:val="22"/>
        </w:rPr>
        <w:t xml:space="preserve">, </w:t>
      </w:r>
      <w:r>
        <w:rPr>
          <w:rFonts w:ascii="Times New Roman" w:hAnsi="Times New Roman"/>
          <w:sz w:val="22"/>
        </w:rPr>
        <w:t>HHGC’s shareholding percentage in respect of the Company</w:t>
      </w:r>
      <w:r>
        <w:rPr>
          <w:rFonts w:hint="eastAsia" w:ascii="Times New Roman" w:hAnsi="Times New Roman"/>
          <w:sz w:val="22"/>
        </w:rPr>
        <w:t xml:space="preserve"> </w:t>
      </w:r>
      <w:r>
        <w:rPr>
          <w:rFonts w:ascii="Times New Roman" w:hAnsi="Times New Roman"/>
          <w:sz w:val="22"/>
        </w:rPr>
        <w:t xml:space="preserve">and its status as the controlling shareholder of the Company </w:t>
      </w:r>
      <w:r>
        <w:rPr>
          <w:rFonts w:hint="eastAsia" w:ascii="Times New Roman" w:hAnsi="Times New Roman"/>
          <w:sz w:val="22"/>
        </w:rPr>
        <w:t xml:space="preserve">will </w:t>
      </w:r>
      <w:r>
        <w:rPr>
          <w:rFonts w:ascii="Times New Roman" w:hAnsi="Times New Roman"/>
          <w:sz w:val="22"/>
        </w:rPr>
        <w:t xml:space="preserve">remain unchanged and will become the immediate controlling shareholder of the Company;  </w:t>
      </w:r>
      <w:r>
        <w:rPr>
          <w:rFonts w:hint="eastAsia" w:ascii="Times New Roman" w:hAnsi="Times New Roman"/>
          <w:sz w:val="22"/>
        </w:rPr>
        <w:t>SXPGC</w:t>
      </w:r>
      <w:r>
        <w:rPr>
          <w:rFonts w:ascii="Times New Roman" w:hAnsi="Times New Roman"/>
          <w:sz w:val="22"/>
        </w:rPr>
        <w:t>, the immediate controlling shareholder of the Company as of the date of this announcement, will no longer have any interests or liabilities in respect of the Company</w:t>
      </w:r>
      <w:r>
        <w:rPr>
          <w:rFonts w:hint="eastAsia" w:ascii="Times New Roman" w:hAnsi="Times New Roman"/>
          <w:sz w:val="22"/>
        </w:rPr>
        <w:t>.</w:t>
      </w:r>
    </w:p>
    <w:p>
      <w:pPr>
        <w:pStyle w:val="2"/>
        <w:snapToGrid w:val="0"/>
        <w:jc w:val="both"/>
        <w:rPr>
          <w:rFonts w:ascii="Times New Roman" w:hAnsi="Times New Roman"/>
          <w:sz w:val="22"/>
        </w:rPr>
      </w:pPr>
    </w:p>
    <w:p>
      <w:pPr>
        <w:pStyle w:val="2"/>
        <w:snapToGrid w:val="0"/>
        <w:jc w:val="both"/>
        <w:rPr>
          <w:rFonts w:ascii="Times New Roman" w:hAnsi="Times New Roman"/>
          <w:sz w:val="22"/>
        </w:rPr>
      </w:pPr>
      <w:r>
        <w:rPr>
          <w:rFonts w:hint="eastAsia" w:ascii="Times New Roman" w:hAnsi="Times New Roman"/>
          <w:sz w:val="22"/>
        </w:rPr>
        <w:t xml:space="preserve">The </w:t>
      </w:r>
      <w:r>
        <w:rPr>
          <w:rFonts w:ascii="Times New Roman" w:hAnsi="Times New Roman"/>
          <w:sz w:val="22"/>
        </w:rPr>
        <w:t>b</w:t>
      </w:r>
      <w:r>
        <w:rPr>
          <w:rFonts w:hint="eastAsia" w:ascii="Times New Roman" w:hAnsi="Times New Roman"/>
          <w:sz w:val="22"/>
        </w:rPr>
        <w:t xml:space="preserve">oard </w:t>
      </w:r>
      <w:r>
        <w:rPr>
          <w:rFonts w:ascii="Times New Roman" w:hAnsi="Times New Roman"/>
          <w:sz w:val="22"/>
        </w:rPr>
        <w:t>of directors of the Company (the “</w:t>
      </w:r>
      <w:r>
        <w:rPr>
          <w:rFonts w:ascii="Times New Roman" w:hAnsi="Times New Roman"/>
          <w:b/>
          <w:sz w:val="22"/>
        </w:rPr>
        <w:t>Board</w:t>
      </w:r>
      <w:r>
        <w:rPr>
          <w:rFonts w:ascii="Times New Roman" w:hAnsi="Times New Roman"/>
          <w:sz w:val="22"/>
        </w:rPr>
        <w:t xml:space="preserve">”) </w:t>
      </w:r>
      <w:r>
        <w:rPr>
          <w:rFonts w:hint="eastAsia" w:ascii="Times New Roman" w:hAnsi="Times New Roman"/>
          <w:sz w:val="22"/>
        </w:rPr>
        <w:t xml:space="preserve">is of the </w:t>
      </w:r>
      <w:r>
        <w:rPr>
          <w:rFonts w:ascii="Times New Roman" w:hAnsi="Times New Roman"/>
          <w:sz w:val="22"/>
        </w:rPr>
        <w:t>view</w:t>
      </w:r>
      <w:r>
        <w:rPr>
          <w:rFonts w:hint="eastAsia" w:ascii="Times New Roman" w:hAnsi="Times New Roman"/>
          <w:sz w:val="22"/>
        </w:rPr>
        <w:t xml:space="preserve"> that the </w:t>
      </w:r>
      <w:r>
        <w:rPr>
          <w:rFonts w:ascii="Times New Roman" w:hAnsi="Times New Roman"/>
          <w:sz w:val="22"/>
        </w:rPr>
        <w:t>Proposed Transfer</w:t>
      </w:r>
      <w:r>
        <w:rPr>
          <w:rFonts w:hint="eastAsia" w:ascii="Times New Roman" w:hAnsi="Times New Roman"/>
          <w:sz w:val="22"/>
        </w:rPr>
        <w:t xml:space="preserve"> will not have any </w:t>
      </w:r>
      <w:r>
        <w:rPr>
          <w:rFonts w:ascii="Times New Roman" w:hAnsi="Times New Roman"/>
          <w:sz w:val="22"/>
        </w:rPr>
        <w:t>impact</w:t>
      </w:r>
      <w:r>
        <w:rPr>
          <w:rFonts w:hint="eastAsia" w:ascii="Times New Roman" w:hAnsi="Times New Roman"/>
          <w:sz w:val="22"/>
        </w:rPr>
        <w:t xml:space="preserve"> on the </w:t>
      </w:r>
      <w:r>
        <w:rPr>
          <w:rFonts w:ascii="Times New Roman" w:hAnsi="Times New Roman"/>
          <w:sz w:val="22"/>
        </w:rPr>
        <w:t xml:space="preserve">financial position and operations of the </w:t>
      </w:r>
      <w:r>
        <w:rPr>
          <w:rFonts w:hint="eastAsia" w:ascii="Times New Roman" w:hAnsi="Times New Roman"/>
          <w:sz w:val="22"/>
        </w:rPr>
        <w:t>Company</w:t>
      </w:r>
      <w:r>
        <w:rPr>
          <w:rFonts w:ascii="Times New Roman" w:hAnsi="Times New Roman"/>
          <w:sz w:val="22"/>
        </w:rPr>
        <w:t xml:space="preserve"> and its subsidiaries</w:t>
      </w:r>
      <w:r>
        <w:rPr>
          <w:rFonts w:hint="eastAsia" w:ascii="Times New Roman" w:hAnsi="Times New Roman"/>
          <w:sz w:val="22"/>
        </w:rPr>
        <w:t xml:space="preserve">. </w:t>
      </w:r>
    </w:p>
    <w:p>
      <w:pPr>
        <w:pStyle w:val="2"/>
        <w:snapToGrid w:val="0"/>
        <w:jc w:val="both"/>
        <w:rPr>
          <w:rFonts w:ascii="Times New Roman" w:hAnsi="Times New Roman"/>
          <w:sz w:val="22"/>
        </w:rPr>
      </w:pPr>
    </w:p>
    <w:p>
      <w:pPr>
        <w:pStyle w:val="2"/>
        <w:snapToGrid w:val="0"/>
        <w:jc w:val="both"/>
        <w:rPr>
          <w:rFonts w:ascii="Times New Roman" w:hAnsi="Times New Roman"/>
          <w:sz w:val="22"/>
        </w:rPr>
      </w:pPr>
      <w:r>
        <w:rPr>
          <w:rFonts w:ascii="Times New Roman" w:hAnsi="Times New Roman"/>
          <w:sz w:val="22"/>
        </w:rPr>
        <w:t>As far as the Company is aware, a</w:t>
      </w:r>
      <w:r>
        <w:rPr>
          <w:rFonts w:hint="eastAsia" w:ascii="Times New Roman" w:hAnsi="Times New Roman"/>
          <w:sz w:val="22"/>
        </w:rPr>
        <w:t>s at the date of this announcement</w:t>
      </w:r>
      <w:r>
        <w:rPr>
          <w:rFonts w:ascii="Times New Roman" w:hAnsi="Times New Roman"/>
          <w:sz w:val="22"/>
        </w:rPr>
        <w:t xml:space="preserve"> </w:t>
      </w:r>
      <w:r>
        <w:rPr>
          <w:rFonts w:hint="eastAsia" w:ascii="Times New Roman" w:hAnsi="Times New Roman"/>
          <w:sz w:val="22"/>
        </w:rPr>
        <w:t xml:space="preserve">the </w:t>
      </w:r>
      <w:r>
        <w:rPr>
          <w:rFonts w:ascii="Times New Roman" w:hAnsi="Times New Roman"/>
          <w:sz w:val="22"/>
        </w:rPr>
        <w:t>Proposed Transfer:</w:t>
      </w:r>
      <w:r>
        <w:rPr>
          <w:rFonts w:hint="eastAsia" w:ascii="Times New Roman" w:hAnsi="Times New Roman"/>
          <w:sz w:val="22"/>
        </w:rPr>
        <w:t xml:space="preserve"> </w:t>
      </w:r>
      <w:r>
        <w:rPr>
          <w:rFonts w:ascii="Times New Roman" w:hAnsi="Times New Roman"/>
          <w:sz w:val="22"/>
        </w:rPr>
        <w:t xml:space="preserve">(i) has been granted approval in principle by the Shandong SASAC; but (ii) is still subject to, </w:t>
      </w:r>
      <w:r>
        <w:rPr>
          <w:rFonts w:ascii="Times New Roman" w:hAnsi="Times New Roman"/>
          <w:i/>
          <w:sz w:val="22"/>
        </w:rPr>
        <w:t>inter alia</w:t>
      </w:r>
      <w:r>
        <w:rPr>
          <w:rFonts w:ascii="Times New Roman" w:hAnsi="Times New Roman"/>
          <w:sz w:val="22"/>
        </w:rPr>
        <w:t>, approvals and/or waivers of other governmental and/or regulatory authorities including without limitation to the China Securities Regulatory Commission</w:t>
      </w:r>
      <w:r>
        <w:rPr>
          <w:rFonts w:hint="eastAsia" w:ascii="Times New Roman" w:hAnsi="Times New Roman"/>
          <w:sz w:val="22"/>
        </w:rPr>
        <w:t xml:space="preserve"> </w:t>
      </w:r>
      <w:r>
        <w:rPr>
          <w:rFonts w:ascii="Times New Roman" w:hAnsi="Times New Roman"/>
          <w:sz w:val="22"/>
        </w:rPr>
        <w:t>(the “</w:t>
      </w:r>
      <w:r>
        <w:rPr>
          <w:rFonts w:ascii="Times New Roman" w:hAnsi="Times New Roman"/>
          <w:b/>
          <w:sz w:val="22"/>
        </w:rPr>
        <w:t>CSRC</w:t>
      </w:r>
      <w:r>
        <w:rPr>
          <w:rFonts w:ascii="Times New Roman" w:hAnsi="Times New Roman"/>
          <w:sz w:val="22"/>
        </w:rPr>
        <w:t>”) and the Securities &amp; Futures Commission of Hong Kong</w:t>
      </w:r>
      <w:r>
        <w:rPr>
          <w:rFonts w:hint="eastAsia" w:ascii="Times New Roman" w:hAnsi="Times New Roman"/>
          <w:sz w:val="22"/>
        </w:rPr>
        <w:t xml:space="preserve"> </w:t>
      </w:r>
      <w:r>
        <w:rPr>
          <w:rFonts w:ascii="Times New Roman" w:hAnsi="Times New Roman"/>
          <w:sz w:val="22"/>
        </w:rPr>
        <w:t>(the “</w:t>
      </w:r>
      <w:r>
        <w:rPr>
          <w:rFonts w:ascii="Times New Roman" w:hAnsi="Times New Roman"/>
          <w:b/>
          <w:sz w:val="22"/>
        </w:rPr>
        <w:t>SFC</w:t>
      </w:r>
      <w:r>
        <w:rPr>
          <w:rFonts w:ascii="Times New Roman" w:hAnsi="Times New Roman"/>
          <w:sz w:val="22"/>
        </w:rPr>
        <w:t>”); and (iii) has not been put into effect</w:t>
      </w:r>
      <w:r>
        <w:rPr>
          <w:rFonts w:hint="eastAsia" w:ascii="Times New Roman" w:hAnsi="Times New Roman"/>
          <w:sz w:val="22"/>
        </w:rPr>
        <w:t>.</w:t>
      </w:r>
    </w:p>
    <w:p>
      <w:pPr>
        <w:pStyle w:val="2"/>
        <w:snapToGrid w:val="0"/>
        <w:jc w:val="both"/>
        <w:rPr>
          <w:rFonts w:ascii="Times New Roman" w:hAnsi="Times New Roman"/>
          <w:sz w:val="22"/>
        </w:rPr>
      </w:pPr>
    </w:p>
    <w:p>
      <w:pPr>
        <w:pStyle w:val="2"/>
        <w:snapToGrid w:val="0"/>
        <w:jc w:val="both"/>
        <w:rPr>
          <w:rFonts w:ascii="Times New Roman" w:hAnsi="Times New Roman"/>
          <w:sz w:val="22"/>
        </w:rPr>
      </w:pPr>
      <w:r>
        <w:rPr>
          <w:rFonts w:hint="eastAsia" w:ascii="Times New Roman" w:hAnsi="Times New Roman"/>
          <w:sz w:val="22"/>
        </w:rPr>
        <w:t xml:space="preserve">The Company will </w:t>
      </w:r>
      <w:r>
        <w:rPr>
          <w:rFonts w:ascii="Times New Roman" w:hAnsi="Times New Roman"/>
          <w:sz w:val="22"/>
        </w:rPr>
        <w:t>make</w:t>
      </w:r>
      <w:r>
        <w:rPr>
          <w:rFonts w:hint="eastAsia" w:ascii="Times New Roman" w:hAnsi="Times New Roman"/>
          <w:sz w:val="22"/>
        </w:rPr>
        <w:t xml:space="preserve"> further announcement</w:t>
      </w:r>
      <w:r>
        <w:rPr>
          <w:rFonts w:ascii="Times New Roman" w:hAnsi="Times New Roman"/>
          <w:sz w:val="22"/>
        </w:rPr>
        <w:t>(s)</w:t>
      </w:r>
      <w:r>
        <w:rPr>
          <w:rFonts w:hint="eastAsia" w:ascii="Times New Roman" w:hAnsi="Times New Roman"/>
          <w:sz w:val="22"/>
        </w:rPr>
        <w:t xml:space="preserve"> </w:t>
      </w:r>
      <w:r>
        <w:rPr>
          <w:rFonts w:ascii="Times New Roman" w:hAnsi="Times New Roman"/>
          <w:sz w:val="22"/>
        </w:rPr>
        <w:t>on any required disclosures on receipt of further notice(s) from the controlling shareholder</w:t>
      </w:r>
      <w:r>
        <w:rPr>
          <w:rFonts w:hint="eastAsia" w:ascii="Times New Roman" w:hAnsi="Times New Roman"/>
          <w:sz w:val="22"/>
        </w:rPr>
        <w:t>.</w:t>
      </w:r>
    </w:p>
    <w:p>
      <w:pPr>
        <w:pStyle w:val="2"/>
        <w:snapToGrid w:val="0"/>
        <w:jc w:val="both"/>
        <w:rPr>
          <w:rFonts w:ascii="Times New Roman" w:hAnsi="Times New Roman"/>
          <w:sz w:val="22"/>
        </w:rPr>
      </w:pPr>
    </w:p>
    <w:p>
      <w:pPr>
        <w:pStyle w:val="2"/>
        <w:snapToGrid w:val="0"/>
        <w:jc w:val="both"/>
        <w:rPr>
          <w:rFonts w:ascii="Times New Roman" w:hAnsi="Times New Roman"/>
          <w:sz w:val="22"/>
        </w:rPr>
      </w:pPr>
      <w:r>
        <w:rPr>
          <w:rFonts w:ascii="Times New Roman" w:hAnsi="Times New Roman"/>
          <w:sz w:val="22"/>
        </w:rPr>
        <w:t>T</w:t>
      </w:r>
      <w:r>
        <w:rPr>
          <w:rFonts w:hint="eastAsia" w:ascii="Times New Roman" w:hAnsi="Times New Roman"/>
          <w:sz w:val="22"/>
        </w:rPr>
        <w:t xml:space="preserve">he directors of the Company </w:t>
      </w:r>
      <w:r>
        <w:rPr>
          <w:rFonts w:ascii="Times New Roman" w:hAnsi="Times New Roman"/>
          <w:sz w:val="22"/>
        </w:rPr>
        <w:t>(the “</w:t>
      </w:r>
      <w:r>
        <w:rPr>
          <w:rFonts w:ascii="Times New Roman" w:hAnsi="Times New Roman"/>
          <w:b/>
          <w:sz w:val="22"/>
        </w:rPr>
        <w:t>Directors</w:t>
      </w:r>
      <w:r>
        <w:rPr>
          <w:rFonts w:ascii="Times New Roman" w:hAnsi="Times New Roman"/>
          <w:sz w:val="22"/>
        </w:rPr>
        <w:t>”, and each a “</w:t>
      </w:r>
      <w:r>
        <w:rPr>
          <w:rFonts w:ascii="Times New Roman" w:hAnsi="Times New Roman"/>
          <w:b/>
          <w:sz w:val="22"/>
        </w:rPr>
        <w:t>Director</w:t>
      </w:r>
      <w:r>
        <w:rPr>
          <w:rFonts w:ascii="Times New Roman" w:hAnsi="Times New Roman"/>
          <w:sz w:val="22"/>
        </w:rPr>
        <w:t xml:space="preserve">”) </w:t>
      </w:r>
      <w:r>
        <w:rPr>
          <w:rFonts w:hint="eastAsia" w:ascii="Times New Roman" w:hAnsi="Times New Roman"/>
          <w:sz w:val="22"/>
        </w:rPr>
        <w:t xml:space="preserve">jointly and severally accept full responsibility for the accuracy of information contained in this announcement and confirm, having made all reasonable inquiries, that to the best of </w:t>
      </w:r>
      <w:r>
        <w:rPr>
          <w:rFonts w:ascii="Times New Roman" w:hAnsi="Times New Roman"/>
          <w:sz w:val="22"/>
        </w:rPr>
        <w:t>their</w:t>
      </w:r>
      <w:r>
        <w:rPr>
          <w:rFonts w:hint="eastAsia" w:ascii="Times New Roman" w:hAnsi="Times New Roman"/>
          <w:sz w:val="22"/>
        </w:rPr>
        <w:t xml:space="preserve"> knowledge, opinions expressed in this announcement have been arrived at after due and careful consideration and there are no other facts not contained in this announcement, the omission of which would make any statement in this announcement misleading.</w:t>
      </w:r>
    </w:p>
    <w:p>
      <w:pPr>
        <w:pStyle w:val="2"/>
        <w:snapToGrid w:val="0"/>
        <w:jc w:val="both"/>
        <w:rPr>
          <w:rFonts w:ascii="Times New Roman" w:hAnsi="Times New Roman"/>
          <w:sz w:val="22"/>
        </w:rPr>
      </w:pPr>
    </w:p>
    <w:p>
      <w:pPr>
        <w:pStyle w:val="2"/>
        <w:snapToGrid w:val="0"/>
        <w:jc w:val="both"/>
        <w:rPr>
          <w:rFonts w:ascii="Times New Roman" w:hAnsi="Times New Roman"/>
          <w:b/>
          <w:bCs/>
          <w:sz w:val="22"/>
        </w:rPr>
      </w:pPr>
      <w:r>
        <w:rPr>
          <w:rFonts w:ascii="Times New Roman" w:hAnsi="Times New Roman"/>
          <w:b/>
          <w:bCs/>
          <w:sz w:val="22"/>
        </w:rPr>
        <w:t>The Proposed Transfer is subject to further conditions other than the Document and may or may not proceed and s</w:t>
      </w:r>
      <w:r>
        <w:rPr>
          <w:rFonts w:hint="eastAsia" w:ascii="Times New Roman" w:hAnsi="Times New Roman"/>
          <w:b/>
          <w:bCs/>
          <w:sz w:val="22"/>
        </w:rPr>
        <w:t xml:space="preserve">hareholders </w:t>
      </w:r>
      <w:r>
        <w:rPr>
          <w:rFonts w:ascii="Times New Roman" w:hAnsi="Times New Roman"/>
          <w:b/>
          <w:bCs/>
          <w:sz w:val="22"/>
        </w:rPr>
        <w:t xml:space="preserve">of the Company </w:t>
      </w:r>
      <w:r>
        <w:rPr>
          <w:rFonts w:hint="eastAsia" w:ascii="Times New Roman" w:hAnsi="Times New Roman"/>
          <w:b/>
          <w:bCs/>
          <w:sz w:val="22"/>
        </w:rPr>
        <w:t xml:space="preserve">and </w:t>
      </w:r>
      <w:r>
        <w:rPr>
          <w:rFonts w:ascii="Times New Roman" w:hAnsi="Times New Roman"/>
          <w:b/>
          <w:bCs/>
          <w:sz w:val="22"/>
        </w:rPr>
        <w:t>potential investors</w:t>
      </w:r>
      <w:r>
        <w:rPr>
          <w:rFonts w:hint="eastAsia" w:ascii="Times New Roman" w:hAnsi="Times New Roman"/>
          <w:b/>
          <w:bCs/>
          <w:sz w:val="22"/>
        </w:rPr>
        <w:t xml:space="preserve"> are advised to exercise caution in dealing in the </w:t>
      </w:r>
      <w:r>
        <w:rPr>
          <w:rFonts w:ascii="Times New Roman" w:hAnsi="Times New Roman"/>
          <w:b/>
          <w:bCs/>
          <w:sz w:val="22"/>
        </w:rPr>
        <w:t>S</w:t>
      </w:r>
      <w:r>
        <w:rPr>
          <w:rFonts w:hint="eastAsia" w:ascii="Times New Roman" w:hAnsi="Times New Roman"/>
          <w:b/>
          <w:bCs/>
          <w:sz w:val="22"/>
        </w:rPr>
        <w:t>hares of the Company</w:t>
      </w:r>
      <w:r>
        <w:rPr>
          <w:rFonts w:ascii="Times New Roman" w:hAnsi="Times New Roman"/>
          <w:b/>
          <w:bCs/>
          <w:sz w:val="22"/>
        </w:rPr>
        <w:t>.</w:t>
      </w:r>
    </w:p>
    <w:p>
      <w:pPr>
        <w:pStyle w:val="2"/>
        <w:snapToGrid w:val="0"/>
        <w:jc w:val="both"/>
        <w:rPr>
          <w:rFonts w:ascii="Times New Roman" w:hAnsi="Times New Roman"/>
          <w:sz w:val="22"/>
        </w:rPr>
      </w:pPr>
    </w:p>
    <w:p>
      <w:pPr>
        <w:jc w:val="both"/>
        <w:rPr>
          <w:sz w:val="22"/>
          <w:szCs w:val="22"/>
        </w:rPr>
      </w:pPr>
      <w:r>
        <w:rPr>
          <w:rFonts w:hint="eastAsia"/>
          <w:sz w:val="22"/>
          <w:szCs w:val="22"/>
        </w:rPr>
        <w:t xml:space="preserve">    </w:t>
      </w:r>
    </w:p>
    <w:tbl>
      <w:tblPr>
        <w:tblW w:w="86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28" w:type="dxa"/>
          <w:right w:w="28" w:type="dxa"/>
        </w:tblCellMar>
      </w:tblPr>
      <w:tblGrid>
        <w:gridCol w:w="3448"/>
        <w:gridCol w:w="5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3448" w:type="dxa"/>
            <w:vAlign w:val="top"/>
          </w:tcPr>
          <w:p>
            <w:pPr>
              <w:pStyle w:val="2"/>
              <w:snapToGrid w:val="0"/>
              <w:rPr>
                <w:rFonts w:ascii="Times New Roman" w:hAnsi="Times New Roman"/>
                <w:sz w:val="22"/>
              </w:rPr>
            </w:pPr>
          </w:p>
        </w:tc>
        <w:tc>
          <w:tcPr>
            <w:tcW w:w="5220" w:type="dxa"/>
            <w:vAlign w:val="top"/>
          </w:tcPr>
          <w:p>
            <w:pPr>
              <w:pStyle w:val="9"/>
              <w:spacing w:line="240" w:lineRule="auto"/>
              <w:ind w:left="110" w:right="1200"/>
              <w:jc w:val="right"/>
              <w:rPr>
                <w:rFonts w:ascii="Times New Roman" w:hAnsi="Times New Roman"/>
                <w:color w:val="auto"/>
                <w:sz w:val="22"/>
                <w:szCs w:val="22"/>
              </w:rPr>
            </w:pPr>
            <w:r>
              <w:rPr>
                <w:rFonts w:ascii="Times New Roman" w:hAnsi="Times New Roman"/>
                <w:color w:val="auto"/>
                <w:sz w:val="22"/>
                <w:szCs w:val="22"/>
              </w:rPr>
              <w:t>By Order of the Board</w:t>
            </w:r>
          </w:p>
          <w:p>
            <w:pPr>
              <w:pStyle w:val="9"/>
              <w:tabs>
                <w:tab w:val="center" w:pos="3969"/>
                <w:tab w:val="center" w:pos="5839"/>
                <w:tab w:val="clear" w:pos="340"/>
                <w:tab w:val="clear" w:pos="680"/>
                <w:tab w:val="clear" w:pos="1020"/>
                <w:tab w:val="clear" w:pos="1360"/>
                <w:tab w:val="clear" w:pos="1700"/>
                <w:tab w:val="clear" w:pos="2040"/>
                <w:tab w:val="clear" w:pos="2380"/>
                <w:tab w:val="clear" w:pos="2720"/>
                <w:tab w:val="clear" w:pos="3060"/>
                <w:tab w:val="clear" w:pos="3400"/>
                <w:tab w:val="clear" w:pos="3740"/>
                <w:tab w:val="clear" w:pos="4080"/>
                <w:tab w:val="clear" w:pos="4420"/>
                <w:tab w:val="clear" w:pos="4760"/>
                <w:tab w:val="clear" w:pos="5100"/>
                <w:tab w:val="clear" w:pos="5440"/>
                <w:tab w:val="clear" w:pos="5780"/>
                <w:tab w:val="clear" w:pos="6120"/>
                <w:tab w:val="clear" w:pos="6460"/>
                <w:tab w:val="clear" w:pos="6800"/>
              </w:tabs>
              <w:spacing w:line="240" w:lineRule="auto"/>
              <w:ind w:left="110"/>
              <w:jc w:val="right"/>
              <w:rPr>
                <w:rFonts w:ascii="Times New Roman" w:hAnsi="Times New Roman"/>
                <w:color w:val="auto"/>
                <w:sz w:val="22"/>
                <w:szCs w:val="22"/>
              </w:rPr>
            </w:pPr>
            <w:r>
              <w:rPr>
                <w:rFonts w:ascii="Times New Roman" w:hAnsi="Times New Roman"/>
                <w:b/>
                <w:bCs/>
                <w:color w:val="auto"/>
                <w:sz w:val="22"/>
                <w:szCs w:val="22"/>
              </w:rPr>
              <w:t>Shandong Xinhua Pharmaceutical Company Limited</w:t>
            </w:r>
          </w:p>
          <w:p>
            <w:pPr>
              <w:pStyle w:val="9"/>
              <w:tabs>
                <w:tab w:val="center" w:pos="3969"/>
                <w:tab w:val="center" w:pos="5839"/>
                <w:tab w:val="clear" w:pos="340"/>
                <w:tab w:val="clear" w:pos="680"/>
                <w:tab w:val="clear" w:pos="1020"/>
                <w:tab w:val="clear" w:pos="1360"/>
                <w:tab w:val="clear" w:pos="1700"/>
                <w:tab w:val="clear" w:pos="2040"/>
                <w:tab w:val="clear" w:pos="2380"/>
                <w:tab w:val="clear" w:pos="2720"/>
                <w:tab w:val="clear" w:pos="3060"/>
                <w:tab w:val="clear" w:pos="3400"/>
                <w:tab w:val="clear" w:pos="3740"/>
                <w:tab w:val="clear" w:pos="4080"/>
                <w:tab w:val="clear" w:pos="4420"/>
                <w:tab w:val="clear" w:pos="4760"/>
                <w:tab w:val="clear" w:pos="5100"/>
                <w:tab w:val="clear" w:pos="5440"/>
                <w:tab w:val="clear" w:pos="5780"/>
                <w:tab w:val="clear" w:pos="6120"/>
                <w:tab w:val="clear" w:pos="6460"/>
                <w:tab w:val="clear" w:pos="6800"/>
              </w:tabs>
              <w:spacing w:line="240" w:lineRule="auto"/>
              <w:ind w:left="110" w:right="1452"/>
              <w:jc w:val="right"/>
              <w:rPr>
                <w:rFonts w:ascii="Times New Roman" w:hAnsi="Times New Roman" w:eastAsia="宋体"/>
                <w:b/>
                <w:bCs/>
                <w:color w:val="auto"/>
                <w:sz w:val="22"/>
                <w:szCs w:val="22"/>
                <w:lang w:eastAsia="zh-CN"/>
              </w:rPr>
            </w:pPr>
            <w:r>
              <w:rPr>
                <w:rFonts w:ascii="Times New Roman" w:hAnsi="Times New Roman" w:eastAsia="宋体"/>
                <w:b/>
                <w:bCs/>
                <w:color w:val="auto"/>
                <w:sz w:val="22"/>
                <w:szCs w:val="22"/>
                <w:lang w:eastAsia="zh-CN"/>
              </w:rPr>
              <w:t>Zhang Daiming</w:t>
            </w:r>
          </w:p>
          <w:p>
            <w:pPr>
              <w:pStyle w:val="9"/>
              <w:spacing w:line="240" w:lineRule="auto"/>
              <w:ind w:left="110" w:right="1722"/>
              <w:jc w:val="right"/>
              <w:rPr>
                <w:rFonts w:ascii="Times New Roman" w:hAnsi="Times New Roman" w:eastAsia="宋体"/>
                <w:i/>
                <w:iCs/>
                <w:color w:val="auto"/>
                <w:sz w:val="22"/>
                <w:szCs w:val="22"/>
                <w:lang w:eastAsia="zh-CN"/>
              </w:rPr>
            </w:pPr>
            <w:r>
              <w:rPr>
                <w:rFonts w:ascii="Times New Roman" w:hAnsi="Times New Roman"/>
                <w:i/>
                <w:iCs/>
                <w:color w:val="auto"/>
                <w:sz w:val="22"/>
                <w:szCs w:val="22"/>
              </w:rPr>
              <w:t>Chairman</w:t>
            </w:r>
          </w:p>
          <w:p>
            <w:pPr>
              <w:pStyle w:val="2"/>
              <w:snapToGrid w:val="0"/>
              <w:jc w:val="center"/>
              <w:rPr>
                <w:rFonts w:ascii="Times New Roman" w:hAnsi="Times New Roman"/>
                <w:sz w:val="22"/>
              </w:rPr>
            </w:pPr>
          </w:p>
        </w:tc>
      </w:tr>
    </w:tbl>
    <w:p>
      <w:pPr>
        <w:pStyle w:val="2"/>
        <w:snapToGrid w:val="0"/>
        <w:rPr>
          <w:rFonts w:ascii="Times New Roman" w:hAnsi="Times New Roman"/>
          <w:sz w:val="22"/>
        </w:rPr>
      </w:pPr>
      <w:r>
        <w:rPr>
          <w:rFonts w:ascii="Times New Roman" w:hAnsi="Times New Roman"/>
          <w:sz w:val="22"/>
        </w:rPr>
        <w:t xml:space="preserve"> </w:t>
      </w:r>
    </w:p>
    <w:p>
      <w:pPr>
        <w:pStyle w:val="2"/>
        <w:snapToGrid w:val="0"/>
        <w:rPr>
          <w:rFonts w:ascii="Times New Roman" w:hAnsi="Times New Roman"/>
          <w:sz w:val="22"/>
        </w:rPr>
      </w:pPr>
      <w:r>
        <w:rPr>
          <w:rFonts w:hint="eastAsia" w:ascii="Times New Roman" w:hAnsi="Times New Roman" w:eastAsia="宋体"/>
          <w:sz w:val="22"/>
          <w:lang w:val="en-US" w:eastAsia="zh-CN"/>
        </w:rPr>
        <w:t>18</w:t>
      </w:r>
      <w:bookmarkStart w:id="0" w:name="_GoBack"/>
      <w:bookmarkEnd w:id="0"/>
      <w:r>
        <w:rPr>
          <w:rFonts w:hint="eastAsia" w:ascii="Times New Roman" w:hAnsi="Times New Roman"/>
          <w:sz w:val="22"/>
        </w:rPr>
        <w:t xml:space="preserve"> </w:t>
      </w:r>
      <w:r>
        <w:rPr>
          <w:rFonts w:ascii="Times New Roman" w:hAnsi="Times New Roman"/>
          <w:sz w:val="22"/>
        </w:rPr>
        <w:t xml:space="preserve">July </w:t>
      </w:r>
      <w:r>
        <w:rPr>
          <w:rFonts w:hint="eastAsia" w:ascii="Times New Roman" w:hAnsi="Times New Roman"/>
          <w:sz w:val="22"/>
        </w:rPr>
        <w:t>20</w:t>
      </w:r>
      <w:r>
        <w:rPr>
          <w:rFonts w:ascii="Times New Roman" w:hAnsi="Times New Roman"/>
          <w:sz w:val="22"/>
        </w:rPr>
        <w:t>18, Zibo, the PRC</w:t>
      </w:r>
    </w:p>
    <w:p>
      <w:pPr>
        <w:pStyle w:val="2"/>
        <w:snapToGrid w:val="0"/>
        <w:rPr>
          <w:rFonts w:ascii="Times New Roman" w:hAnsi="Times New Roman"/>
          <w:sz w:val="22"/>
        </w:rPr>
      </w:pPr>
      <w:r>
        <w:rPr>
          <w:rFonts w:ascii="Times New Roman" w:hAnsi="Times New Roman"/>
          <w:sz w:val="22"/>
        </w:rPr>
        <w:t xml:space="preserve"> </w:t>
      </w:r>
    </w:p>
    <w:p>
      <w:pPr>
        <w:pStyle w:val="2"/>
        <w:snapToGrid w:val="0"/>
        <w:ind w:left="630" w:hanging="630"/>
        <w:jc w:val="both"/>
        <w:rPr>
          <w:rFonts w:ascii="Times New Roman" w:hAnsi="Times New Roman"/>
          <w:i/>
          <w:sz w:val="22"/>
        </w:rPr>
      </w:pPr>
    </w:p>
    <w:p>
      <w:pPr>
        <w:pStyle w:val="2"/>
        <w:snapToGrid w:val="0"/>
        <w:ind w:left="630" w:hanging="630"/>
        <w:jc w:val="both"/>
        <w:rPr>
          <w:rFonts w:ascii="Times New Roman" w:hAnsi="Times New Roman"/>
          <w:i/>
          <w:sz w:val="22"/>
        </w:rPr>
      </w:pPr>
    </w:p>
    <w:p>
      <w:pPr>
        <w:snapToGrid w:val="0"/>
        <w:ind w:left="110"/>
        <w:jc w:val="both"/>
        <w:rPr>
          <w:color w:val="231F20"/>
          <w:spacing w:val="4"/>
          <w:sz w:val="22"/>
          <w:szCs w:val="22"/>
        </w:rPr>
      </w:pPr>
      <w:r>
        <w:rPr>
          <w:color w:val="231F20"/>
          <w:spacing w:val="4"/>
          <w:sz w:val="22"/>
          <w:szCs w:val="22"/>
        </w:rPr>
        <w:t xml:space="preserve">As at the date of this announcement, the Board comprises: </w:t>
      </w:r>
    </w:p>
    <w:p>
      <w:pPr>
        <w:snapToGrid w:val="0"/>
        <w:ind w:left="110"/>
        <w:jc w:val="both"/>
        <w:rPr>
          <w:color w:val="231F20"/>
          <w:spacing w:val="4"/>
          <w:sz w:val="22"/>
          <w:szCs w:val="22"/>
        </w:rPr>
      </w:pPr>
    </w:p>
    <w:tbl>
      <w:tblPr>
        <w:tblW w:w="86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28" w:type="dxa"/>
          <w:right w:w="28" w:type="dxa"/>
        </w:tblCellMar>
      </w:tblPr>
      <w:tblGrid>
        <w:gridCol w:w="4348"/>
        <w:gridCol w:w="43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28" w:type="dxa"/>
            <w:right w:w="28" w:type="dxa"/>
          </w:tblCellMar>
        </w:tblPrEx>
        <w:tc>
          <w:tcPr>
            <w:tcW w:w="4348" w:type="dxa"/>
            <w:vAlign w:val="top"/>
          </w:tcPr>
          <w:p>
            <w:pPr>
              <w:snapToGrid w:val="0"/>
              <w:ind w:left="110"/>
              <w:jc w:val="both"/>
              <w:rPr>
                <w:color w:val="231F20"/>
                <w:spacing w:val="4"/>
                <w:sz w:val="22"/>
                <w:szCs w:val="22"/>
                <w:u w:val="single"/>
              </w:rPr>
            </w:pPr>
            <w:r>
              <w:rPr>
                <w:color w:val="231F20"/>
                <w:spacing w:val="4"/>
                <w:sz w:val="22"/>
                <w:szCs w:val="22"/>
                <w:u w:val="single"/>
              </w:rPr>
              <w:t>Executive Directors:</w:t>
            </w:r>
          </w:p>
          <w:p>
            <w:pPr>
              <w:snapToGrid w:val="0"/>
              <w:ind w:left="110"/>
              <w:jc w:val="both"/>
              <w:rPr>
                <w:color w:val="231F20"/>
                <w:spacing w:val="4"/>
                <w:sz w:val="22"/>
                <w:szCs w:val="22"/>
              </w:rPr>
            </w:pPr>
            <w:r>
              <w:rPr>
                <w:color w:val="231F20"/>
                <w:spacing w:val="4"/>
                <w:sz w:val="22"/>
                <w:szCs w:val="22"/>
              </w:rPr>
              <w:t>Mr. Zhang Daiming (Chairman)</w:t>
            </w:r>
          </w:p>
          <w:p>
            <w:pPr>
              <w:snapToGrid w:val="0"/>
              <w:ind w:left="110"/>
              <w:jc w:val="both"/>
              <w:rPr>
                <w:color w:val="231F20"/>
                <w:spacing w:val="4"/>
                <w:sz w:val="22"/>
                <w:szCs w:val="22"/>
              </w:rPr>
            </w:pPr>
            <w:r>
              <w:rPr>
                <w:color w:val="231F20"/>
                <w:spacing w:val="4"/>
                <w:sz w:val="22"/>
                <w:szCs w:val="22"/>
              </w:rPr>
              <w:t>Mr. Du Deping</w:t>
            </w:r>
          </w:p>
          <w:p>
            <w:pPr>
              <w:snapToGrid w:val="0"/>
              <w:ind w:left="110"/>
              <w:jc w:val="both"/>
              <w:rPr>
                <w:color w:val="231F20"/>
                <w:spacing w:val="4"/>
                <w:sz w:val="22"/>
                <w:szCs w:val="22"/>
              </w:rPr>
            </w:pPr>
          </w:p>
        </w:tc>
        <w:tc>
          <w:tcPr>
            <w:tcW w:w="4348" w:type="dxa"/>
            <w:vAlign w:val="top"/>
          </w:tcPr>
          <w:p>
            <w:pPr>
              <w:snapToGrid w:val="0"/>
              <w:ind w:left="110"/>
              <w:jc w:val="both"/>
              <w:rPr>
                <w:color w:val="231F20"/>
                <w:spacing w:val="4"/>
                <w:sz w:val="22"/>
                <w:szCs w:val="22"/>
                <w:u w:val="single"/>
              </w:rPr>
            </w:pPr>
            <w:r>
              <w:rPr>
                <w:color w:val="231F20"/>
                <w:spacing w:val="4"/>
                <w:sz w:val="22"/>
                <w:szCs w:val="22"/>
                <w:u w:val="single"/>
              </w:rPr>
              <w:t>Independent Non-executive Directors:</w:t>
            </w:r>
          </w:p>
          <w:p>
            <w:pPr>
              <w:snapToGrid w:val="0"/>
              <w:ind w:left="110"/>
              <w:jc w:val="both"/>
              <w:rPr>
                <w:color w:val="231F20"/>
                <w:spacing w:val="4"/>
                <w:sz w:val="22"/>
                <w:szCs w:val="22"/>
              </w:rPr>
            </w:pPr>
            <w:r>
              <w:rPr>
                <w:color w:val="231F20"/>
                <w:spacing w:val="4"/>
                <w:sz w:val="22"/>
                <w:szCs w:val="22"/>
              </w:rPr>
              <w:t xml:space="preserve">Mr. Li Wenming </w:t>
            </w:r>
          </w:p>
          <w:p>
            <w:pPr>
              <w:snapToGrid w:val="0"/>
              <w:ind w:left="110"/>
              <w:jc w:val="both"/>
              <w:rPr>
                <w:color w:val="231F20"/>
                <w:spacing w:val="4"/>
                <w:sz w:val="22"/>
                <w:szCs w:val="22"/>
              </w:rPr>
            </w:pPr>
            <w:r>
              <w:rPr>
                <w:color w:val="231F20"/>
                <w:spacing w:val="4"/>
                <w:sz w:val="22"/>
                <w:szCs w:val="22"/>
              </w:rPr>
              <w:t xml:space="preserve">Mr. Du Guanhua </w:t>
            </w:r>
          </w:p>
          <w:p>
            <w:pPr>
              <w:snapToGrid w:val="0"/>
              <w:ind w:left="110"/>
              <w:jc w:val="both"/>
              <w:rPr>
                <w:color w:val="231F20"/>
                <w:spacing w:val="4"/>
                <w:sz w:val="22"/>
                <w:szCs w:val="22"/>
              </w:rPr>
            </w:pPr>
            <w:r>
              <w:rPr>
                <w:color w:val="231F20"/>
                <w:spacing w:val="4"/>
                <w:sz w:val="22"/>
                <w:szCs w:val="22"/>
              </w:rPr>
              <w:t>Mr. Lo Wah Wai</w:t>
            </w:r>
          </w:p>
          <w:p>
            <w:pPr>
              <w:snapToGrid w:val="0"/>
              <w:ind w:left="110"/>
              <w:jc w:val="both"/>
              <w:rPr>
                <w:color w:val="231F20"/>
                <w:spacing w:val="4"/>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28" w:type="dxa"/>
            <w:right w:w="28" w:type="dxa"/>
          </w:tblCellMar>
        </w:tblPrEx>
        <w:tc>
          <w:tcPr>
            <w:tcW w:w="4348" w:type="dxa"/>
            <w:vAlign w:val="top"/>
          </w:tcPr>
          <w:p>
            <w:pPr>
              <w:snapToGrid w:val="0"/>
              <w:ind w:left="110"/>
              <w:jc w:val="both"/>
              <w:rPr>
                <w:color w:val="231F20"/>
                <w:spacing w:val="4"/>
                <w:sz w:val="22"/>
                <w:szCs w:val="22"/>
                <w:u w:val="single"/>
              </w:rPr>
            </w:pPr>
            <w:r>
              <w:rPr>
                <w:color w:val="231F20"/>
                <w:spacing w:val="4"/>
                <w:sz w:val="22"/>
                <w:szCs w:val="22"/>
                <w:u w:val="single"/>
              </w:rPr>
              <w:t>Non-executive Directors:</w:t>
            </w:r>
          </w:p>
          <w:p>
            <w:pPr>
              <w:snapToGrid w:val="0"/>
              <w:ind w:left="110"/>
              <w:jc w:val="both"/>
              <w:rPr>
                <w:color w:val="231F20"/>
                <w:spacing w:val="4"/>
                <w:sz w:val="22"/>
                <w:szCs w:val="22"/>
              </w:rPr>
            </w:pPr>
            <w:r>
              <w:rPr>
                <w:color w:val="231F20"/>
                <w:spacing w:val="4"/>
                <w:sz w:val="22"/>
                <w:szCs w:val="22"/>
              </w:rPr>
              <w:t>Mr. Ren Fulong</w:t>
            </w:r>
          </w:p>
          <w:p>
            <w:pPr>
              <w:snapToGrid w:val="0"/>
              <w:ind w:left="110"/>
              <w:jc w:val="both"/>
              <w:rPr>
                <w:color w:val="231F20"/>
                <w:spacing w:val="4"/>
                <w:sz w:val="22"/>
                <w:szCs w:val="22"/>
              </w:rPr>
            </w:pPr>
            <w:r>
              <w:rPr>
                <w:color w:val="231F20"/>
                <w:spacing w:val="4"/>
                <w:sz w:val="22"/>
                <w:szCs w:val="22"/>
              </w:rPr>
              <w:t xml:space="preserve">Mr. Xu Lie </w:t>
            </w:r>
          </w:p>
          <w:p>
            <w:pPr>
              <w:snapToGrid w:val="0"/>
              <w:ind w:left="110"/>
              <w:jc w:val="both"/>
              <w:rPr>
                <w:color w:val="231F20"/>
                <w:spacing w:val="4"/>
                <w:sz w:val="22"/>
                <w:szCs w:val="22"/>
              </w:rPr>
            </w:pPr>
            <w:r>
              <w:rPr>
                <w:color w:val="231F20"/>
                <w:spacing w:val="4"/>
                <w:sz w:val="22"/>
                <w:szCs w:val="22"/>
              </w:rPr>
              <w:t>Mr. Zhao Bin</w:t>
            </w:r>
          </w:p>
        </w:tc>
        <w:tc>
          <w:tcPr>
            <w:tcW w:w="4348" w:type="dxa"/>
            <w:vAlign w:val="top"/>
          </w:tcPr>
          <w:p>
            <w:pPr>
              <w:snapToGrid w:val="0"/>
              <w:ind w:left="110"/>
              <w:jc w:val="both"/>
              <w:rPr>
                <w:color w:val="231F20"/>
                <w:spacing w:val="4"/>
                <w:sz w:val="22"/>
                <w:szCs w:val="22"/>
              </w:rPr>
            </w:pPr>
          </w:p>
        </w:tc>
      </w:tr>
    </w:tbl>
    <w:p>
      <w:pPr>
        <w:pStyle w:val="7"/>
        <w:spacing w:line="0" w:lineRule="atLeast"/>
        <w:ind w:left="115"/>
        <w:rPr>
          <w:rFonts w:ascii="Times New Roman" w:hAnsi="Times New Roman"/>
          <w:color w:val="231F20"/>
          <w:spacing w:val="4"/>
          <w:sz w:val="22"/>
          <w:szCs w:val="22"/>
        </w:rPr>
      </w:pPr>
    </w:p>
    <w:p>
      <w:pPr>
        <w:pStyle w:val="8"/>
        <w:spacing w:line="0" w:lineRule="atLeast"/>
        <w:ind w:left="115"/>
        <w:rPr>
          <w:rFonts w:ascii="Times New Roman" w:hAnsi="Times New Roman"/>
          <w:color w:val="231F20"/>
          <w:spacing w:val="4"/>
          <w:sz w:val="22"/>
          <w:szCs w:val="22"/>
        </w:rPr>
      </w:pPr>
    </w:p>
    <w:p>
      <w:pPr>
        <w:pStyle w:val="8"/>
        <w:spacing w:line="0" w:lineRule="atLeast"/>
        <w:ind w:left="115"/>
        <w:rPr>
          <w:rFonts w:ascii="Times New Roman" w:hAnsi="Times New Roman"/>
          <w:color w:val="231F20"/>
          <w:spacing w:val="4"/>
          <w:sz w:val="22"/>
          <w:szCs w:val="22"/>
        </w:rPr>
      </w:pPr>
    </w:p>
    <w:p>
      <w:pPr>
        <w:spacing w:line="0" w:lineRule="atLeast"/>
        <w:ind w:left="115"/>
        <w:rPr>
          <w:i/>
          <w:color w:val="231F20"/>
          <w:spacing w:val="4"/>
          <w:sz w:val="22"/>
          <w:szCs w:val="22"/>
        </w:rPr>
      </w:pPr>
      <w:r>
        <w:rPr>
          <w:i/>
          <w:color w:val="231F20"/>
          <w:spacing w:val="4"/>
          <w:sz w:val="22"/>
          <w:szCs w:val="22"/>
        </w:rPr>
        <w:t>* for identification purpose only</w:t>
      </w:r>
    </w:p>
    <w:p>
      <w:pPr>
        <w:autoSpaceDE w:val="0"/>
        <w:autoSpaceDN w:val="0"/>
        <w:adjustRightInd w:val="0"/>
        <w:ind w:left="110" w:right="1207"/>
        <w:jc w:val="center"/>
        <w:rPr>
          <w:color w:val="000000"/>
          <w:sz w:val="22"/>
          <w:szCs w:val="22"/>
        </w:rPr>
      </w:pPr>
    </w:p>
    <w:p>
      <w:pPr>
        <w:pStyle w:val="2"/>
        <w:snapToGrid w:val="0"/>
        <w:jc w:val="both"/>
        <w:rPr>
          <w:rFonts w:ascii="Times New Roman" w:hAnsi="Times New Roman"/>
          <w:iCs/>
          <w:sz w:val="22"/>
        </w:rPr>
      </w:pPr>
    </w:p>
    <w:p/>
    <w:sectPr>
      <w:footerReference r:id="rId4" w:type="default"/>
      <w:pgSz w:w="11906" w:h="16838"/>
      <w:pgMar w:top="1440" w:right="1286" w:bottom="1440" w:left="1530" w:header="851" w:footer="992"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MingLiU">
    <w:panose1 w:val="02020509000000000000"/>
    <w:charset w:val="88"/>
    <w:family w:val="auto"/>
    <w:pitch w:val="default"/>
    <w:sig w:usb0="A00002FF" w:usb1="28CFFCFA" w:usb2="00000016" w:usb3="00000000" w:csb0="00100001" w:csb1="00000000"/>
  </w:font>
  <w:font w:name="Times">
    <w:altName w:val="Times New Roman"/>
    <w:panose1 w:val="02020603050405020304"/>
    <w:charset w:val="00"/>
    <w:family w:val="auto"/>
    <w:pitch w:val="default"/>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right"/>
      <w:rPr>
        <w:sz w:val="16"/>
      </w:rPr>
    </w:pPr>
  </w:p>
  <w:p>
    <w:pPr>
      <w:pStyle w:val="3"/>
      <w:jc w:val="right"/>
      <w:rPr>
        <w:sz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47766873">
    <w:nsid w:val="4A5F6959"/>
    <w:multiLevelType w:val="multilevel"/>
    <w:tmpl w:val="4A5F6959"/>
    <w:lvl w:ilvl="0" w:tentative="1">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12477668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720"/>
  <w:drawingGridHorizontalSpacing w:val="0"/>
  <w:displayHorizontalDrawingGridEvery w:val="1"/>
  <w:displayVerticalDrawingGridEvery w:val="1"/>
  <w:characterSpacingControl w:val="doNotCompress"/>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nhideWhenUsed="0"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spacing w:after="0" w:line="240" w:lineRule="auto"/>
    </w:pPr>
    <w:rPr>
      <w:rFonts w:ascii="Times New Roman" w:hAnsi="Times New Roman" w:eastAsia="PMingLiU" w:cs="Times New Roman"/>
      <w:kern w:val="2"/>
      <w:sz w:val="24"/>
      <w:szCs w:val="24"/>
      <w:lang w:val="en-US" w:eastAsia="zh-TW" w:bidi="ar-SA"/>
    </w:rPr>
  </w:style>
  <w:style w:type="character" w:default="1" w:styleId="5">
    <w:name w:val="Default Paragraph Font"/>
    <w:semiHidden/>
    <w:unhideWhenUsed/>
    <w:uiPriority w:val="1"/>
  </w:style>
  <w:style w:type="paragraph" w:styleId="2">
    <w:name w:val="Plain Text"/>
    <w:basedOn w:val="1"/>
    <w:link w:val="13"/>
    <w:semiHidden/>
    <w:uiPriority w:val="0"/>
    <w:rPr>
      <w:rFonts w:ascii="MingLiU" w:hAnsi="Courier New" w:eastAsia="MingLiU"/>
      <w:szCs w:val="22"/>
    </w:rPr>
  </w:style>
  <w:style w:type="paragraph" w:styleId="3">
    <w:name w:val="footer"/>
    <w:basedOn w:val="1"/>
    <w:link w:val="12"/>
    <w:unhideWhenUsed/>
    <w:uiPriority w:val="0"/>
    <w:pPr>
      <w:tabs>
        <w:tab w:val="center" w:pos="4513"/>
        <w:tab w:val="right" w:pos="9026"/>
      </w:tabs>
    </w:pPr>
  </w:style>
  <w:style w:type="paragraph" w:styleId="4">
    <w:name w:val="header"/>
    <w:basedOn w:val="1"/>
    <w:link w:val="11"/>
    <w:unhideWhenUsed/>
    <w:uiPriority w:val="99"/>
    <w:pPr>
      <w:tabs>
        <w:tab w:val="center" w:pos="4513"/>
        <w:tab w:val="right" w:pos="9026"/>
      </w:tabs>
    </w:pPr>
  </w:style>
  <w:style w:type="paragraph" w:customStyle="1" w:styleId="6">
    <w:name w:val="題目"/>
    <w:uiPriority w:val="0"/>
    <w:pPr>
      <w:spacing w:after="0" w:line="240" w:lineRule="auto"/>
      <w:jc w:val="center"/>
    </w:pPr>
    <w:rPr>
      <w:rFonts w:ascii="Times New Roman" w:hAnsi="Times New Roman" w:eastAsia="MingLiU" w:cs="Times New Roman"/>
      <w:b/>
      <w:sz w:val="36"/>
      <w:szCs w:val="20"/>
      <w:lang w:val="en-US"/>
    </w:rPr>
  </w:style>
  <w:style w:type="paragraph" w:customStyle="1" w:styleId="7">
    <w:name w:val="Leading 12"/>
    <w:uiPriority w:val="0"/>
    <w:pPr>
      <w:widowControl w:val="0"/>
      <w:tabs>
        <w:tab w:val="left" w:pos="340"/>
        <w:tab w:val="left" w:pos="680"/>
        <w:tab w:val="left" w:pos="1020"/>
        <w:tab w:val="left" w:pos="1361"/>
      </w:tabs>
      <w:autoSpaceDE w:val="0"/>
      <w:autoSpaceDN w:val="0"/>
      <w:adjustRightInd w:val="0"/>
      <w:spacing w:after="0" w:line="182" w:lineRule="atLeast"/>
      <w:jc w:val="both"/>
    </w:pPr>
    <w:rPr>
      <w:rFonts w:ascii="Times" w:hAnsi="Times" w:eastAsia="PMingLiU" w:cs="Times New Roman"/>
      <w:sz w:val="10"/>
      <w:szCs w:val="10"/>
      <w:lang w:val="en-US"/>
    </w:rPr>
  </w:style>
  <w:style w:type="paragraph" w:customStyle="1" w:styleId="8">
    <w:name w:val="Leading 06"/>
    <w:uiPriority w:val="0"/>
    <w:pPr>
      <w:widowControl w:val="0"/>
      <w:tabs>
        <w:tab w:val="left" w:pos="340"/>
        <w:tab w:val="left" w:pos="680"/>
        <w:tab w:val="left" w:pos="1020"/>
        <w:tab w:val="left" w:pos="1361"/>
      </w:tabs>
      <w:autoSpaceDE w:val="0"/>
      <w:autoSpaceDN w:val="0"/>
      <w:adjustRightInd w:val="0"/>
      <w:spacing w:after="0" w:line="180" w:lineRule="atLeast"/>
      <w:jc w:val="both"/>
    </w:pPr>
    <w:rPr>
      <w:rFonts w:ascii="Times" w:hAnsi="Times" w:eastAsia="PMingLiU" w:cs="Times New Roman"/>
      <w:sz w:val="10"/>
      <w:szCs w:val="10"/>
      <w:lang w:val="en-US"/>
    </w:rPr>
  </w:style>
  <w:style w:type="paragraph" w:customStyle="1" w:styleId="9">
    <w:name w:val="Body Text1"/>
    <w:uiPriority w:val="0"/>
    <w:pPr>
      <w:widowControl w:val="0"/>
      <w:tabs>
        <w:tab w:val="left" w:pos="340"/>
        <w:tab w:val="left" w:pos="680"/>
        <w:tab w:val="left" w:pos="1020"/>
        <w:tab w:val="left" w:pos="1360"/>
        <w:tab w:val="left" w:pos="1700"/>
        <w:tab w:val="left" w:pos="2040"/>
        <w:tab w:val="left" w:pos="2380"/>
        <w:tab w:val="left" w:pos="2720"/>
        <w:tab w:val="left" w:pos="3060"/>
        <w:tab w:val="left" w:pos="3400"/>
        <w:tab w:val="left" w:pos="3740"/>
        <w:tab w:val="left" w:pos="4080"/>
        <w:tab w:val="left" w:pos="4420"/>
        <w:tab w:val="left" w:pos="4760"/>
        <w:tab w:val="left" w:pos="5100"/>
        <w:tab w:val="left" w:pos="5440"/>
        <w:tab w:val="left" w:pos="5780"/>
        <w:tab w:val="left" w:pos="6120"/>
        <w:tab w:val="left" w:pos="6460"/>
        <w:tab w:val="left" w:pos="6800"/>
      </w:tabs>
      <w:autoSpaceDE w:val="0"/>
      <w:autoSpaceDN w:val="0"/>
      <w:adjustRightInd w:val="0"/>
      <w:spacing w:after="0" w:line="200" w:lineRule="atLeast"/>
      <w:ind w:left="340"/>
      <w:jc w:val="both"/>
    </w:pPr>
    <w:rPr>
      <w:rFonts w:ascii="Times" w:hAnsi="Times" w:eastAsia="PMingLiU" w:cs="Times New Roman"/>
      <w:color w:val="000000"/>
      <w:sz w:val="17"/>
      <w:szCs w:val="17"/>
      <w:lang w:val="en-US"/>
    </w:rPr>
  </w:style>
  <w:style w:type="paragraph" w:customStyle="1" w:styleId="10">
    <w:name w:val="List Paragraph"/>
    <w:basedOn w:val="1"/>
    <w:qFormat/>
    <w:uiPriority w:val="34"/>
    <w:pPr>
      <w:ind w:left="720"/>
    </w:pPr>
  </w:style>
  <w:style w:type="character" w:customStyle="1" w:styleId="11">
    <w:name w:val="Header Char"/>
    <w:basedOn w:val="5"/>
    <w:link w:val="4"/>
    <w:uiPriority w:val="99"/>
    <w:rPr/>
  </w:style>
  <w:style w:type="character" w:customStyle="1" w:styleId="12">
    <w:name w:val="Footer Char"/>
    <w:basedOn w:val="5"/>
    <w:link w:val="3"/>
    <w:uiPriority w:val="99"/>
    <w:rPr/>
  </w:style>
  <w:style w:type="character" w:customStyle="1" w:styleId="13">
    <w:name w:val="Plain Text Char"/>
    <w:basedOn w:val="5"/>
    <w:link w:val="2"/>
    <w:semiHidden/>
    <w:uiPriority w:val="0"/>
    <w:rPr>
      <w:rFonts w:ascii="MingLiU" w:hAnsi="Courier New" w:eastAsia="MingLiU" w:cs="Times New Roman"/>
      <w:kern w:val="2"/>
      <w:sz w:val="24"/>
      <w:lang w:val="en-US"/>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image" Target="media/image1.png"/><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757</Words>
  <Characters>4319</Characters>
  <Lines>35</Lines>
  <Paragraphs>10</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2018-07-11T09:06:00Z</dcterms:created>
  <dc:creator>Charltons</dc:creator>
  <cp:lastModifiedBy>曹长求</cp:lastModifiedBy>
  <dcterms:modified xsi:type="dcterms:W3CDTF">2018-07-18T07:27:01Z</dcterms:modified>
  <dc:title>Hong Kong Exchanges and Clearing Limited and The Stock Exchange of Hong Kong Limited take no responsibility for the contents of this announcement, make no representation as to its accuracy or completeness and expressly disclaim any liability whatsoever f</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